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Promo JANEIRO - Estreias Curta! / Destaques de Janeiro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xxx / 7005565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Introdução padrão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2120127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01:30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2120127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04:25-04:38 "Nós estamos... origem"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03:18 Abertura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00:15-00:30 "Desde... educação"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2120188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00:39 Abertura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2120188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06:47-07:00 "O coração... e tudo, então"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padrão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Classificação indicativa: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Livre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FIQUE POR DENTRO DAS ESTREIAS DO CANAL CURTA!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"LÍNGUA - VIDAS EM PORTUGUÊS", UM MERGULHO NAS DIVERSAS NARRATIVAS DE UM MESMO IDIOMA.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2120127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04:25-04:38 "Nós estamos... origem"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"A ESCOLA DO AMANHÃ", MINISSÉRIE INÉDITA SOBRE A INFLUÊNCIA DA CIÊNCIA NA EDUCAÇÃO.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00:15-00:30 "Desde... educação"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"ESTRADA DE SONHOS", A HISTÓRIA FERROVIÁRIA DO BRASIL PARA ALÉM DOS TRILHOS.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2120188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06:47-07:00 "O coração... e tudo, então"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MELHOR EM MÚSICA, ARTES, CINEMA, PENSAMENTO E SOCIEDADE.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JANEIRO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CURTA!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\\servercurta\Edicao\Brutos_13\CHAMADAS\DESTAQUES DO MES\JANEIRO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\\servercurta\Edicao\Brutos_13\PARA MARINA\Locução Flavia 13-12-18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