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Obs.: arquivo está no server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7005798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Presença de Villa-Lobos - Trecho</w:t>
      </w:r>
    </w:p>
    <w:p w:rsidR="00000000" w:rsidDel="00000000" w:rsidP="00000000" w:rsidRDefault="00000000" w:rsidRPr="00000000" w14:paraId="00000004">
      <w:pPr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  <w:sz w:val="21"/>
          <w:szCs w:val="21"/>
          <w:highlight w:val="white"/>
        </w:rPr>
      </w:pPr>
      <w:r w:rsidDel="00000000" w:rsidR="00000000" w:rsidRPr="00000000">
        <w:rPr>
          <w:b w:val="1"/>
          <w:color w:val="ff0000"/>
          <w:sz w:val="21"/>
          <w:szCs w:val="21"/>
          <w:highlight w:val="white"/>
          <w:rtl w:val="0"/>
        </w:rPr>
        <w:t xml:space="preserve">PEÇA DE 30’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2120337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21:15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"Aquela modinha..", violoncelista solando na praia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Trilha continua e entra a abertura: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0:01-00:10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Entra cartela com a data: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SEGUNDA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6 DE MAIO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20:30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