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yellow"/>
          <w:rtl w:val="0"/>
        </w:rPr>
        <w:t xml:space="preserve">7006213</w:t>
      </w:r>
      <w:r w:rsidDel="00000000" w:rsidR="00000000" w:rsidRPr="00000000">
        <w:rPr>
          <w:rFonts w:ascii="Calibri" w:cs="Calibri" w:eastAsia="Calibri" w:hAnsi="Calibri"/>
          <w:b w:val="1"/>
          <w:color w:val="333333"/>
          <w:sz w:val="24"/>
          <w:szCs w:val="24"/>
          <w:highlight w:val="white"/>
          <w:rtl w:val="0"/>
        </w:rPr>
        <w:t xml:space="preserve"> Musicalmente na América Latina: Mercedes Sosa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Começa com a tela dividida com o nome da cantora, como nas promos anteriores</w:t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green"/>
          <w:rtl w:val="0"/>
        </w:rPr>
        <w:t xml:space="preserve">2120410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10:30-11:30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Mercedes cantando e tocando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Lettering em cima da imagem: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SEGUNDA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3 DE FEVEREIRO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23:00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shd w:fill="cfe2f3" w:val="clear"/>
          <w:rtl w:val="0"/>
        </w:rPr>
        <w:t xml:space="preserve">NO CURTA!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4"/>
          <w:szCs w:val="24"/>
          <w:shd w:fill="cfe2f3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sz w:val="24"/>
          <w:szCs w:val="24"/>
          <w:shd w:fill="c9daf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