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7006329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Geografia da Arte: Donald Judd + Marfa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2120683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Vimeo 2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04:40-05:14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Foto de Donald Judd, em off: "Acho que ele... Nova York"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17:17-17:29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I've heard, "Ouvi falar... Manhattan"//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02:07-02:15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Abertura com nome do artista e lugar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Lowerthird: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Geografia da Arte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Série de Guto Barra e Tatiana Issa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 5 Maio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21:00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Leque: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TERÇA DAS ARTES / LUGAR DE INSPIRAÇÃO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